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7F" w:rsidRPr="00907FA1" w:rsidRDefault="009B4B7F" w:rsidP="00907F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A1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9B4B7F" w:rsidRPr="00907FA1" w:rsidRDefault="009B4B7F" w:rsidP="00907F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A1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9B4B7F" w:rsidRPr="00907FA1" w:rsidRDefault="009B4B7F" w:rsidP="00907F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A1">
        <w:rPr>
          <w:rFonts w:ascii="Times New Roman" w:hAnsi="Times New Roman" w:cs="Times New Roman"/>
          <w:b/>
          <w:sz w:val="28"/>
          <w:szCs w:val="28"/>
        </w:rPr>
        <w:t>від 03 лютого 2020 р. № 93-р</w:t>
      </w:r>
    </w:p>
    <w:p w:rsidR="009B4B7F" w:rsidRPr="00907FA1" w:rsidRDefault="009B4B7F" w:rsidP="00907F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A1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Про заходи щодо запобі</w:t>
      </w:r>
      <w:bookmarkStart w:id="0" w:name="_GoBack"/>
      <w:bookmarkEnd w:id="0"/>
      <w:r w:rsidRPr="009B4B7F">
        <w:rPr>
          <w:rFonts w:ascii="Times New Roman" w:hAnsi="Times New Roman" w:cs="Times New Roman"/>
          <w:sz w:val="28"/>
          <w:szCs w:val="28"/>
        </w:rPr>
        <w:t xml:space="preserve">гання занесенню і поширенню на території України гострої респіраторної хвороби, спричиненої </w:t>
      </w:r>
      <w:proofErr w:type="spellStart"/>
      <w:r w:rsidRPr="009B4B7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9B4B7F">
        <w:rPr>
          <w:rFonts w:ascii="Times New Roman" w:hAnsi="Times New Roman" w:cs="Times New Roman"/>
          <w:sz w:val="28"/>
          <w:szCs w:val="28"/>
        </w:rPr>
        <w:t xml:space="preserve"> 2019-nCoV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 xml:space="preserve">1. Утворити оперативний штаб з питань запобігання занесенню та поширенню на території України гострої респіраторної хвороби, спричиненої </w:t>
      </w:r>
      <w:proofErr w:type="spellStart"/>
      <w:r w:rsidRPr="009B4B7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9B4B7F">
        <w:rPr>
          <w:rFonts w:ascii="Times New Roman" w:hAnsi="Times New Roman" w:cs="Times New Roman"/>
          <w:sz w:val="28"/>
          <w:szCs w:val="28"/>
        </w:rPr>
        <w:t xml:space="preserve"> 2019-nCoV, у складі згідно з додатком.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2. Установити:</w:t>
      </w:r>
    </w:p>
    <w:p w:rsidR="009B4B7F" w:rsidRPr="009B4B7F" w:rsidRDefault="009B4B7F" w:rsidP="009B4B7F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 xml:space="preserve">режим підвищеної готовності єдиної державної системи цивільного захисту для запобігання виникненню надзвичайної ситуації державного рівня внаслідок можливого поширення гострої респіраторної хвороби, спричиненої </w:t>
      </w:r>
      <w:proofErr w:type="spellStart"/>
      <w:r w:rsidRPr="009B4B7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9B4B7F">
        <w:rPr>
          <w:rFonts w:ascii="Times New Roman" w:hAnsi="Times New Roman" w:cs="Times New Roman"/>
          <w:sz w:val="28"/>
          <w:szCs w:val="28"/>
        </w:rPr>
        <w:t xml:space="preserve"> 2019-nCoV;</w:t>
      </w:r>
    </w:p>
    <w:p w:rsidR="009B4B7F" w:rsidRPr="009B4B7F" w:rsidRDefault="009B4B7F" w:rsidP="009B4B7F">
      <w:pPr>
        <w:pStyle w:val="a3"/>
        <w:numPr>
          <w:ilvl w:val="0"/>
          <w:numId w:val="3"/>
        </w:numPr>
        <w:ind w:left="567" w:hanging="357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тимчасові обмеження та особливі умови для в’їзду осіб, які перебували у провінції Хубей Китайської Народної Республіки, шляхом їх ізоляції протягом 14 днів у визначених Міністерством охорони здоров’я закладах охорони здоров’я.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 xml:space="preserve">3. Затвердити Національний план протиепідемічних заходів щодо запобігання занесенню і поширенню на території України гострої респіраторної хвороби, спричиненої </w:t>
      </w:r>
      <w:proofErr w:type="spellStart"/>
      <w:r w:rsidRPr="009B4B7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9B4B7F">
        <w:rPr>
          <w:rFonts w:ascii="Times New Roman" w:hAnsi="Times New Roman" w:cs="Times New Roman"/>
          <w:sz w:val="28"/>
          <w:szCs w:val="28"/>
        </w:rPr>
        <w:t xml:space="preserve"> 2019-nCoV, на 2020 рік, що додається.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4.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забезпечити виконання Національного плану, затвердженого цим розпорядженням, за рахунок та в межах видатків державного і місцевих бюджетів, а також інших не заборонених законодавством джерел фінансування.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 xml:space="preserve">        Прем’єр-міністр України                                       О. ГОНЧАРУК</w:t>
      </w:r>
    </w:p>
    <w:p w:rsidR="009B4B7F" w:rsidRPr="009B4B7F" w:rsidRDefault="009B4B7F" w:rsidP="009B4B7F">
      <w:pPr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Інд. 73</w:t>
      </w:r>
    </w:p>
    <w:p w:rsidR="009B4B7F" w:rsidRDefault="009B4B7F" w:rsidP="009B4B7F">
      <w:pPr>
        <w:pStyle w:val="ShapkaDocumentu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>до розпорядження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3 лютого 2020 р. № 93-р</w:t>
      </w:r>
    </w:p>
    <w:p w:rsidR="009B4B7F" w:rsidRDefault="009B4B7F" w:rsidP="00907FA1">
      <w:pPr>
        <w:pStyle w:val="a5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СКЛАД</w:t>
      </w:r>
      <w:r>
        <w:rPr>
          <w:rFonts w:ascii="Times New Roman" w:hAnsi="Times New Roman"/>
          <w:b w:val="0"/>
          <w:sz w:val="28"/>
          <w:szCs w:val="28"/>
        </w:rPr>
        <w:br/>
        <w:t xml:space="preserve">оперативного штабу з питань запобігання занесенню та поширенню на території України гострої респіраторної хвороби, спричиненої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2019-nCoV</w:t>
      </w:r>
    </w:p>
    <w:tbl>
      <w:tblPr>
        <w:tblW w:w="486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4"/>
        <w:gridCol w:w="7114"/>
      </w:tblGrid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ГОНЧАРУК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Олексій Валерійович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Прем’єр-міністр України, голова оперативного штабу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СКАЛЕЦЬКА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Зоряна Степанівна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Міністр охорони здоров’я, заступник голови оперативного штабу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АЛЬОШИН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Сергій Володимирович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консульської служби - начальник управління консульського забезпечення МЗС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ГОЛУБОВСЬКА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Ольга Анатоліївна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інфекційних хвороб Національного медичного університету імені О. О. Богомольця (за згодою)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ДЕЙНЕКО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Сергій Васильович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Держприкордонслужби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ДЖИГИР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Юрій Анатолійович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Міністра фінансів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Сергій Олександрович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анестезіології та інтенсивної терапії Національного медичного університету імені О. О. Богомольця (за згодою)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ЗАГОРОДНЮК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Андрій Павлович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Міністр оборони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Вікторія Іванівна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державної установи “Інститут епідеміології та інфекційних хвороб ім. Л.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Громашевського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Національної академії медичних наук України” (за згодою)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ЗАЄЦЬ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Андрій Іванович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секретар МЗС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Ігор Володимирович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Національної поліції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КОМІСАРЕНКО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Сергій Васильович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Інституту біохімії імені О. В. Палладіна Національної академії наук (за згодою)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КРИКЛІЙ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Владислав Артурович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Міністр інфраструктури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КУЗІН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Ігор Володимирович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генерального директора державної установи “Центр громадського здоров’я Міністерства охорони здоров’я України”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Віктор Кирилович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Міністра охорони здоров’я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</w:p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Тимофій Сергійович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Міністр розвитку економіки, торгівлі та сільського господарства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МОВЧАН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Оксана Сергіївна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НСЗУ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НЕФЬОДОВ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Максим Євгенович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Держмитслужби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НОВОСАД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Ганна Ігорівна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Міністр освіти і науки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ЦИМБАЛЮК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Віталій Іванович 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Національної академії медичних наук (за згодою)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ЧЕЧОТКІН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Микола Олександрович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ДСНС </w:t>
            </w:r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</w:p>
        </w:tc>
      </w:tr>
      <w:tr w:rsidR="009B4B7F" w:rsidTr="009B4B7F">
        <w:trPr>
          <w:trHeight w:val="20"/>
        </w:trPr>
        <w:tc>
          <w:tcPr>
            <w:tcW w:w="143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A2E3A"/>
                <w:sz w:val="28"/>
                <w:szCs w:val="28"/>
              </w:rPr>
              <w:t>ЯРОВИЙ</w:t>
            </w:r>
            <w:r>
              <w:rPr>
                <w:rFonts w:ascii="Times New Roman" w:hAnsi="Times New Roman"/>
                <w:color w:val="2A2E3A"/>
                <w:sz w:val="28"/>
                <w:szCs w:val="28"/>
              </w:rPr>
              <w:br/>
              <w:t>Сергій Анатолійович</w:t>
            </w:r>
          </w:p>
        </w:tc>
        <w:tc>
          <w:tcPr>
            <w:tcW w:w="3565" w:type="pct"/>
            <w:hideMark/>
          </w:tcPr>
          <w:p w:rsidR="009B4B7F" w:rsidRDefault="009B4B7F" w:rsidP="00907FA1">
            <w:pPr>
              <w:pStyle w:val="a4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Міністра внутрішніх справ</w:t>
            </w:r>
          </w:p>
        </w:tc>
      </w:tr>
    </w:tbl>
    <w:p w:rsidR="00907FA1" w:rsidRDefault="0090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907FA1" w:rsidRDefault="00907FA1">
      <w:pPr>
        <w:rPr>
          <w:rFonts w:ascii="Times New Roman" w:hAnsi="Times New Roman" w:cs="Times New Roman"/>
          <w:sz w:val="28"/>
          <w:szCs w:val="28"/>
        </w:rPr>
      </w:pPr>
    </w:p>
    <w:p w:rsidR="007C7A88" w:rsidRDefault="007C7A88" w:rsidP="00907FA1">
      <w:pPr>
        <w:rPr>
          <w:rFonts w:ascii="Times New Roman" w:hAnsi="Times New Roman" w:cs="Times New Roman"/>
          <w:sz w:val="28"/>
          <w:szCs w:val="28"/>
        </w:rPr>
        <w:sectPr w:rsidR="007C7A88" w:rsidSect="007C413A"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7C7A88" w:rsidRDefault="007C7A88" w:rsidP="007C7A88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r w:rsidRPr="00877DCB"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877DCB">
        <w:rPr>
          <w:rFonts w:ascii="Times New Roman" w:hAnsi="Times New Roman"/>
          <w:sz w:val="28"/>
          <w:szCs w:val="28"/>
        </w:rPr>
        <w:br/>
        <w:t>розпорядженням Кабінету Міністрів України</w:t>
      </w:r>
      <w:r w:rsidRPr="00877DCB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3 лютого </w:t>
      </w:r>
      <w:r w:rsidRPr="00877DCB">
        <w:rPr>
          <w:rFonts w:ascii="Times New Roman" w:hAnsi="Times New Roman"/>
          <w:sz w:val="28"/>
          <w:szCs w:val="28"/>
        </w:rPr>
        <w:t>2020 р. №</w:t>
      </w:r>
      <w:r>
        <w:rPr>
          <w:rFonts w:ascii="Times New Roman" w:hAnsi="Times New Roman"/>
          <w:sz w:val="28"/>
          <w:szCs w:val="28"/>
        </w:rPr>
        <w:t xml:space="preserve"> 93-р</w:t>
      </w:r>
    </w:p>
    <w:p w:rsidR="007C7A88" w:rsidRPr="00877DCB" w:rsidRDefault="007C7A88" w:rsidP="007B49CF">
      <w:pPr>
        <w:pStyle w:val="a5"/>
        <w:spacing w:before="0"/>
        <w:rPr>
          <w:rFonts w:ascii="Times New Roman" w:hAnsi="Times New Roman"/>
          <w:b w:val="0"/>
          <w:sz w:val="28"/>
          <w:szCs w:val="28"/>
        </w:rPr>
      </w:pPr>
      <w:r w:rsidRPr="00877DCB">
        <w:rPr>
          <w:rFonts w:ascii="Times New Roman" w:hAnsi="Times New Roman"/>
          <w:b w:val="0"/>
          <w:sz w:val="28"/>
          <w:szCs w:val="28"/>
        </w:rPr>
        <w:t>НАЦІОНАЛЬНИЙ ПЛАН</w:t>
      </w:r>
      <w:r w:rsidRPr="00877DCB">
        <w:rPr>
          <w:rFonts w:ascii="Times New Roman" w:hAnsi="Times New Roman"/>
          <w:b w:val="0"/>
          <w:sz w:val="28"/>
          <w:szCs w:val="28"/>
        </w:rPr>
        <w:br/>
        <w:t xml:space="preserve">протиепідемічних заходів </w:t>
      </w:r>
      <w:r>
        <w:rPr>
          <w:rFonts w:ascii="Times New Roman" w:hAnsi="Times New Roman"/>
          <w:b w:val="0"/>
          <w:sz w:val="28"/>
          <w:szCs w:val="28"/>
        </w:rPr>
        <w:t>щодо запобігання занесенню і поширенню</w:t>
      </w:r>
      <w:r w:rsidRPr="00877DC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території України </w:t>
      </w:r>
      <w:r w:rsidRPr="00877DCB">
        <w:rPr>
          <w:rFonts w:ascii="Times New Roman" w:hAnsi="Times New Roman"/>
          <w:b w:val="0"/>
          <w:sz w:val="28"/>
          <w:szCs w:val="28"/>
        </w:rPr>
        <w:t xml:space="preserve">гострої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77DCB">
        <w:rPr>
          <w:rFonts w:ascii="Times New Roman" w:hAnsi="Times New Roman"/>
          <w:b w:val="0"/>
          <w:sz w:val="28"/>
          <w:szCs w:val="28"/>
        </w:rPr>
        <w:t>респіраторної хвороби,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77DCB">
        <w:rPr>
          <w:rFonts w:ascii="Times New Roman" w:hAnsi="Times New Roman"/>
          <w:b w:val="0"/>
          <w:sz w:val="28"/>
          <w:szCs w:val="28"/>
        </w:rPr>
        <w:t xml:space="preserve">спричиненої </w:t>
      </w:r>
      <w:proofErr w:type="spellStart"/>
      <w:r w:rsidRPr="00877DCB">
        <w:rPr>
          <w:rFonts w:ascii="Times New Roman" w:hAnsi="Times New Roman"/>
          <w:b w:val="0"/>
          <w:sz w:val="28"/>
          <w:szCs w:val="28"/>
        </w:rPr>
        <w:t>коронавірусом</w:t>
      </w:r>
      <w:proofErr w:type="spellEnd"/>
      <w:r w:rsidRPr="00877DCB">
        <w:rPr>
          <w:rFonts w:ascii="Times New Roman" w:hAnsi="Times New Roman"/>
          <w:b w:val="0"/>
          <w:sz w:val="28"/>
          <w:szCs w:val="28"/>
        </w:rPr>
        <w:t xml:space="preserve"> 2019-nCoV</w:t>
      </w:r>
      <w:r>
        <w:rPr>
          <w:rFonts w:ascii="Times New Roman" w:hAnsi="Times New Roman"/>
          <w:b w:val="0"/>
          <w:sz w:val="28"/>
          <w:szCs w:val="28"/>
        </w:rPr>
        <w:t>, на 2020 рік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781"/>
        <w:gridCol w:w="4252"/>
        <w:gridCol w:w="1418"/>
      </w:tblGrid>
      <w:tr w:rsidR="001832D6" w:rsidRPr="007C7A88" w:rsidTr="007B49CF">
        <w:trPr>
          <w:trHeight w:val="23"/>
          <w:tblHeader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1832D6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перенесення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Міноборони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поїздки,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обмін,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виїзд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інфікування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стабілізації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uppressAutoHyphens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МКМС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Держпродспоживслужба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tabs>
                <w:tab w:val="left" w:pos="12900"/>
              </w:tabs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облдержадміністраціях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виділенням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планами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uppressAutoHyphens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tabs>
                <w:tab w:val="left" w:pos="12900"/>
              </w:tabs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скупчення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(зокрема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торговельних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кінотеатрах)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авіаційним,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морським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дезінфекції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Мінінфраструктури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Держприкордонслужби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Держмитслужба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працюватимуть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запровадження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Мінінфраструктури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аеропортів,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річкових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розгортання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uppressAutoHyphens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Мінінфраструктури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Державіаслужба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Держприкордонслужби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державне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портів”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санітарно-карантинних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(відділів/відділень)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(зокрема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епідеміологічного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прикордонного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повітряних,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морських,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річкових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загрозливою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епідемічною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ситуацією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Мінінфраструктури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Держприкордонслужби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Держмитслужба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державне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портів”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7B49CF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прибувають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зареєстровано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подорожуючих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заповнених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санітарно-карантинних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епідеміологічного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санітарно-карантинних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(відділів/відділень)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та/або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найближчих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інфекційних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Держприкордонслужби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Мінінфраструктури</w:t>
            </w:r>
            <w:proofErr w:type="spell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невідкладно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дефіциту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Мінекономіки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Держмитслужба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Мінфін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(стаціонарів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інтенсивної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підозрою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(категорії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внутрішньолікарняного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Міноборони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МВС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ДСНС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захворювання,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підозрою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ізоляційними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біозахисту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FFP2,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окулярами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щитками,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нітриловими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(хірургічними)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дезінфекційних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</w:t>
            </w:r>
            <w:proofErr w:type="spellEnd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(дитячі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вірусно-бактеріальні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фільтри,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Міноборони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7B49CF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перепрофілювання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Міноборони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МВС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діагностикумами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8E10B8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епідеміології,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перебігу,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 w:rsidR="008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8E10B8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інфекційних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надзвичайних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ДСНС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Міноборони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інфекційного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Національна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епідеміологічного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хворобою,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7B49CF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симуляційного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хворобою,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 w:rsidR="007B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місцеві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1832D6" w:rsidRPr="007C7A88" w:rsidTr="007B49CF">
        <w:trPr>
          <w:trHeight w:val="23"/>
        </w:trPr>
        <w:tc>
          <w:tcPr>
            <w:tcW w:w="312" w:type="dxa"/>
          </w:tcPr>
          <w:p w:rsidR="001832D6" w:rsidRPr="007C7A88" w:rsidRDefault="001832D6" w:rsidP="001832D6">
            <w:pPr>
              <w:pStyle w:val="a3"/>
              <w:numPr>
                <w:ilvl w:val="0"/>
                <w:numId w:val="5"/>
              </w:numPr>
              <w:snapToGri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тренувального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розгортання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респіраторну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спричинену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2019-nCoV</w:t>
            </w:r>
          </w:p>
        </w:tc>
        <w:tc>
          <w:tcPr>
            <w:tcW w:w="4252" w:type="dxa"/>
          </w:tcPr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Міноборони</w:t>
            </w:r>
          </w:p>
          <w:p w:rsidR="001832D6" w:rsidRPr="007C7A88" w:rsidRDefault="001832D6" w:rsidP="001832D6">
            <w:pPr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МВС</w:t>
            </w:r>
          </w:p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D6" w:rsidRPr="007C7A88" w:rsidRDefault="001832D6" w:rsidP="001832D6">
            <w:pPr>
              <w:snapToGrid w:val="0"/>
              <w:spacing w:before="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</w:tbl>
    <w:p w:rsidR="007C7A88" w:rsidRPr="009B4B7F" w:rsidRDefault="007C7A88" w:rsidP="00907FA1">
      <w:pPr>
        <w:rPr>
          <w:rFonts w:ascii="Times New Roman" w:hAnsi="Times New Roman" w:cs="Times New Roman"/>
          <w:sz w:val="28"/>
          <w:szCs w:val="28"/>
        </w:rPr>
      </w:pPr>
    </w:p>
    <w:sectPr w:rsidR="007C7A88" w:rsidRPr="009B4B7F" w:rsidSect="007C7A88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2C8"/>
    <w:multiLevelType w:val="hybridMultilevel"/>
    <w:tmpl w:val="36803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40AD"/>
    <w:multiLevelType w:val="hybridMultilevel"/>
    <w:tmpl w:val="C9EC024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ECF6AC2"/>
    <w:multiLevelType w:val="hybridMultilevel"/>
    <w:tmpl w:val="A184C51E"/>
    <w:lvl w:ilvl="0" w:tplc="F21E256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FCE07AC"/>
    <w:multiLevelType w:val="hybridMultilevel"/>
    <w:tmpl w:val="29424680"/>
    <w:lvl w:ilvl="0" w:tplc="F21E256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7D3373B9"/>
    <w:multiLevelType w:val="hybridMultilevel"/>
    <w:tmpl w:val="A592862E"/>
    <w:lvl w:ilvl="0" w:tplc="C4AEFF6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F"/>
    <w:rsid w:val="000E302D"/>
    <w:rsid w:val="0010535F"/>
    <w:rsid w:val="001832D6"/>
    <w:rsid w:val="0043367F"/>
    <w:rsid w:val="0050256F"/>
    <w:rsid w:val="007B49CF"/>
    <w:rsid w:val="007C413A"/>
    <w:rsid w:val="007C7A88"/>
    <w:rsid w:val="008E10B8"/>
    <w:rsid w:val="00907FA1"/>
    <w:rsid w:val="009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ind w:left="720"/>
      <w:contextualSpacing/>
    </w:pPr>
  </w:style>
  <w:style w:type="paragraph" w:customStyle="1" w:styleId="a4">
    <w:name w:val="Нормальний текст"/>
    <w:basedOn w:val="a"/>
    <w:rsid w:val="009B4B7F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9B4B7F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B4B7F"/>
    <w:pPr>
      <w:keepNext/>
      <w:keepLines/>
      <w:spacing w:before="0"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ind w:left="720"/>
      <w:contextualSpacing/>
    </w:pPr>
  </w:style>
  <w:style w:type="paragraph" w:customStyle="1" w:styleId="a4">
    <w:name w:val="Нормальний текст"/>
    <w:basedOn w:val="a"/>
    <w:rsid w:val="009B4B7F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9B4B7F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B4B7F"/>
    <w:pPr>
      <w:keepNext/>
      <w:keepLines/>
      <w:spacing w:before="0"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6FEF-2537-444A-8E13-13E100D2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8353</Words>
  <Characters>4762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OHZ9 OP</dc:creator>
  <cp:lastModifiedBy>OHZ9 OP</cp:lastModifiedBy>
  <cp:revision>2</cp:revision>
  <dcterms:created xsi:type="dcterms:W3CDTF">2020-02-10T14:46:00Z</dcterms:created>
  <dcterms:modified xsi:type="dcterms:W3CDTF">2020-02-10T14:46:00Z</dcterms:modified>
</cp:coreProperties>
</file>